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spacing w:after="0" w:line="480" w:lineRule="auto"/>
        <w:rPr>
          <w:rFonts w:ascii="Times New Roman" w:cs="Times New Roman" w:hAnsi="Times New Roman" w:eastAsia="Times New Roman"/>
          <w:sz w:val="24"/>
          <w:szCs w:val="24"/>
        </w:rPr>
      </w:pPr>
    </w:p>
    <w:p>
      <w:pPr>
        <w:pStyle w:val="Body A"/>
        <w:spacing w:after="0" w:line="480" w:lineRule="auto"/>
        <w:rPr>
          <w:rFonts w:ascii="Times New Roman" w:cs="Times New Roman" w:hAnsi="Times New Roman" w:eastAsia="Times New Roman"/>
          <w:sz w:val="24"/>
          <w:szCs w:val="24"/>
        </w:rPr>
      </w:pPr>
    </w:p>
    <w:p>
      <w:pPr>
        <w:pStyle w:val="Body A"/>
        <w:spacing w:after="0" w:line="480" w:lineRule="auto"/>
        <w:rPr>
          <w:rFonts w:ascii="Times New Roman" w:cs="Times New Roman" w:hAnsi="Times New Roman" w:eastAsia="Times New Roman"/>
          <w:sz w:val="24"/>
          <w:szCs w:val="24"/>
        </w:rPr>
      </w:pPr>
    </w:p>
    <w:p>
      <w:pPr>
        <w:pStyle w:val="Body A"/>
        <w:spacing w:after="0" w:line="480" w:lineRule="auto"/>
        <w:ind w:firstLine="720"/>
        <w:rPr>
          <w:rFonts w:ascii="Arial" w:cs="Arial" w:hAnsi="Arial" w:eastAsia="Arial"/>
          <w:b w:val="1"/>
          <w:bCs w:val="1"/>
          <w:outline w:val="0"/>
          <w:color w:val="2d3b45"/>
          <w:sz w:val="24"/>
          <w:szCs w:val="24"/>
          <w:u w:color="2d3b45"/>
          <w:shd w:val="clear" w:color="auto" w:fill="ffffff"/>
          <w14:textFill>
            <w14:solidFill>
              <w14:srgbClr w14:val="2D3B45"/>
            </w14:solidFill>
          </w14:textFill>
        </w:rPr>
      </w:pPr>
      <w:r>
        <w:rPr>
          <w:rFonts w:ascii="Arial" w:hAnsi="Arial"/>
          <w:b w:val="1"/>
          <w:bCs w:val="1"/>
          <w:outline w:val="0"/>
          <w:color w:val="2d3b45"/>
          <w:sz w:val="24"/>
          <w:szCs w:val="24"/>
          <w:u w:color="2d3b45"/>
          <w:shd w:val="clear" w:color="auto" w:fill="ffffff"/>
          <w:rtl w:val="0"/>
          <w:lang w:val="en-US"/>
          <w14:textFill>
            <w14:solidFill>
              <w14:srgbClr w14:val="2D3B45"/>
            </w14:solidFill>
          </w14:textFill>
        </w:rPr>
        <w:t xml:space="preserve">Generational Diversity and the benefits of intergenerational socialization </w:t>
      </w:r>
    </w:p>
    <w:p>
      <w:pPr>
        <w:pStyle w:val="Body A"/>
        <w:spacing w:after="0" w:line="480" w:lineRule="auto"/>
        <w:ind w:left="1440" w:firstLine="720"/>
        <w:rPr>
          <w:rFonts w:ascii="Times New Roman" w:cs="Times New Roman" w:hAnsi="Times New Roman" w:eastAsia="Times New Roman"/>
          <w:b w:val="1"/>
          <w:bCs w:val="1"/>
          <w:sz w:val="24"/>
          <w:szCs w:val="24"/>
          <w:shd w:val="clear" w:color="auto" w:fill="ffffff"/>
        </w:rPr>
      </w:pPr>
      <w:r>
        <w:rPr>
          <w:rFonts w:ascii="Arial" w:hAnsi="Arial"/>
          <w:b w:val="1"/>
          <w:bCs w:val="1"/>
          <w:outline w:val="0"/>
          <w:color w:val="2d3b45"/>
          <w:sz w:val="24"/>
          <w:szCs w:val="24"/>
          <w:u w:color="2d3b45"/>
          <w:shd w:val="clear" w:color="auto" w:fill="ffffff"/>
          <w:rtl w:val="0"/>
          <w:lang w:val="en-US"/>
          <w14:textFill>
            <w14:solidFill>
              <w14:srgbClr w14:val="2D3B45"/>
            </w14:solidFill>
          </w14:textFill>
        </w:rPr>
        <w:t>in the healthcare setting and the nursing profession</w:t>
      </w:r>
      <w:r>
        <w:rPr>
          <w:rFonts w:ascii="Arial" w:hAnsi="Arial"/>
          <w:b w:val="1"/>
          <w:bCs w:val="1"/>
          <w:sz w:val="24"/>
          <w:szCs w:val="24"/>
          <w:shd w:val="clear" w:color="auto" w:fill="ffffff"/>
          <w:rtl w:val="0"/>
        </w:rPr>
        <w:t xml:space="preserve">  </w:t>
      </w:r>
    </w:p>
    <w:p>
      <w:pPr>
        <w:pStyle w:val="Body A"/>
        <w:spacing w:after="0" w:line="480" w:lineRule="auto"/>
        <w:rPr>
          <w:rFonts w:ascii="Times New Roman" w:cs="Times New Roman" w:hAnsi="Times New Roman" w:eastAsia="Times New Roman"/>
          <w:b w:val="1"/>
          <w:bCs w:val="1"/>
          <w:sz w:val="24"/>
          <w:szCs w:val="24"/>
        </w:rPr>
      </w:pPr>
    </w:p>
    <w:p>
      <w:pPr>
        <w:pStyle w:val="Body A"/>
        <w:spacing w:after="0" w:line="480" w:lineRule="auto"/>
        <w:rPr>
          <w:rFonts w:ascii="Times New Roman" w:cs="Times New Roman" w:hAnsi="Times New Roman" w:eastAsia="Times New Roman"/>
          <w:b w:val="1"/>
          <w:bCs w:val="1"/>
          <w:sz w:val="24"/>
          <w:szCs w:val="24"/>
        </w:rPr>
      </w:pPr>
    </w:p>
    <w:p>
      <w:pPr>
        <w:pStyle w:val="Body A"/>
        <w:spacing w:after="0" w:line="480" w:lineRule="auto"/>
        <w:rPr>
          <w:rFonts w:ascii="Times New Roman" w:cs="Times New Roman" w:hAnsi="Times New Roman" w:eastAsia="Times New Roman"/>
          <w:b w:val="1"/>
          <w:bCs w:val="1"/>
          <w:sz w:val="24"/>
          <w:szCs w:val="24"/>
        </w:rPr>
      </w:pPr>
    </w:p>
    <w:p>
      <w:pPr>
        <w:pStyle w:val="Body A"/>
        <w:spacing w:after="0" w:line="480" w:lineRule="auto"/>
        <w:rPr>
          <w:rFonts w:ascii="Times New Roman" w:cs="Times New Roman" w:hAnsi="Times New Roman" w:eastAsia="Times New Roman"/>
          <w:b w:val="1"/>
          <w:bCs w:val="1"/>
          <w:sz w:val="24"/>
          <w:szCs w:val="24"/>
        </w:rPr>
      </w:pPr>
    </w:p>
    <w:p>
      <w:pPr>
        <w:pStyle w:val="Body A"/>
        <w:spacing w:after="0" w:line="480" w:lineRule="auto"/>
        <w:jc w:val="center"/>
        <w:rPr>
          <w:rFonts w:ascii="Times New Roman" w:cs="Times New Roman" w:hAnsi="Times New Roman" w:eastAsia="Times New Roman"/>
          <w:sz w:val="24"/>
          <w:szCs w:val="24"/>
        </w:rPr>
      </w:pPr>
      <w:r>
        <w:rPr>
          <w:rFonts w:ascii="Times New Roman" w:hAnsi="Times New Roman"/>
          <w:sz w:val="24"/>
          <w:szCs w:val="24"/>
          <w:rtl w:val="0"/>
        </w:rPr>
        <w:t>Cora Salmonsen</w:t>
      </w:r>
    </w:p>
    <w:p>
      <w:pPr>
        <w:pStyle w:val="Body A"/>
        <w:spacing w:after="0" w:line="48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Mira Costa Community College</w:t>
      </w:r>
    </w:p>
    <w:p>
      <w:pPr>
        <w:pStyle w:val="Body A"/>
        <w:spacing w:after="0" w:line="48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Course: SP23 NURS 183 2086</w:t>
      </w:r>
    </w:p>
    <w:p>
      <w:pPr>
        <w:pStyle w:val="Body A"/>
        <w:spacing w:after="0" w:line="480" w:lineRule="auto"/>
        <w:jc w:val="center"/>
        <w:rPr>
          <w:rFonts w:ascii="Times New Roman" w:cs="Times New Roman" w:hAnsi="Times New Roman" w:eastAsia="Times New Roman"/>
          <w:sz w:val="24"/>
          <w:szCs w:val="24"/>
        </w:rPr>
      </w:pPr>
      <w:r>
        <w:rPr>
          <w:rFonts w:ascii="Times New Roman" w:hAnsi="Times New Roman"/>
          <w:sz w:val="24"/>
          <w:szCs w:val="24"/>
          <w:rtl w:val="0"/>
          <w:lang w:val="it-IT"/>
        </w:rPr>
        <w:t>Professor: Yana Gardiner</w:t>
      </w:r>
    </w:p>
    <w:p>
      <w:pPr>
        <w:pStyle w:val="Body A"/>
        <w:spacing w:after="0" w:line="48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Date: March 13th 2023</w:t>
      </w:r>
    </w:p>
    <w:p>
      <w:pPr>
        <w:pStyle w:val="Body A"/>
        <w:spacing w:after="0" w:line="480" w:lineRule="auto"/>
        <w:rPr>
          <w:rFonts w:ascii="Times New Roman" w:cs="Times New Roman" w:hAnsi="Times New Roman" w:eastAsia="Times New Roman"/>
          <w:sz w:val="24"/>
          <w:szCs w:val="24"/>
        </w:rPr>
      </w:pPr>
    </w:p>
    <w:p>
      <w:pPr>
        <w:pStyle w:val="Body A"/>
        <w:spacing w:after="0" w:line="480" w:lineRule="auto"/>
        <w:rPr>
          <w:rFonts w:ascii="Times New Roman" w:cs="Times New Roman" w:hAnsi="Times New Roman" w:eastAsia="Times New Roman"/>
          <w:sz w:val="24"/>
          <w:szCs w:val="24"/>
        </w:rPr>
      </w:pPr>
    </w:p>
    <w:p>
      <w:pPr>
        <w:pStyle w:val="Body A"/>
        <w:spacing w:after="0" w:line="480" w:lineRule="auto"/>
        <w:rPr>
          <w:rFonts w:ascii="Times New Roman" w:cs="Times New Roman" w:hAnsi="Times New Roman" w:eastAsia="Times New Roman"/>
          <w:sz w:val="24"/>
          <w:szCs w:val="24"/>
        </w:rPr>
      </w:pPr>
      <w:r>
        <w:rPr>
          <w:rFonts w:ascii="Times New Roman" w:hAnsi="Times New Roman" w:hint="default"/>
          <w:sz w:val="24"/>
          <w:szCs w:val="24"/>
          <w:rtl w:val="0"/>
          <w:lang w:val="en-US"/>
        </w:rPr>
        <w:t> </w:t>
      </w:r>
    </w:p>
    <w:p>
      <w:pPr>
        <w:pStyle w:val="Body A"/>
        <w:spacing w:before="200" w:line="480" w:lineRule="auto"/>
        <w:rPr>
          <w:rFonts w:ascii="Times New Roman" w:cs="Times New Roman" w:hAnsi="Times New Roman" w:eastAsia="Times New Roman"/>
          <w:sz w:val="24"/>
          <w:szCs w:val="24"/>
        </w:rPr>
      </w:pPr>
    </w:p>
    <w:p>
      <w:pPr>
        <w:pStyle w:val="Body A"/>
        <w:spacing w:before="200" w:line="480" w:lineRule="auto"/>
        <w:rPr>
          <w:rFonts w:ascii="Times New Roman" w:cs="Times New Roman" w:hAnsi="Times New Roman" w:eastAsia="Times New Roman"/>
          <w:sz w:val="24"/>
          <w:szCs w:val="24"/>
        </w:rPr>
      </w:pPr>
    </w:p>
    <w:p>
      <w:pPr>
        <w:pStyle w:val="Body A"/>
        <w:spacing w:before="200" w:line="480" w:lineRule="auto"/>
        <w:rPr>
          <w:rFonts w:ascii="Times New Roman" w:cs="Times New Roman" w:hAnsi="Times New Roman" w:eastAsia="Times New Roman"/>
          <w:sz w:val="24"/>
          <w:szCs w:val="24"/>
        </w:rPr>
      </w:pPr>
    </w:p>
    <w:p>
      <w:pPr>
        <w:pStyle w:val="Body A"/>
        <w:spacing w:before="200" w:line="480" w:lineRule="auto"/>
        <w:rPr>
          <w:rFonts w:ascii="Times New Roman" w:cs="Times New Roman" w:hAnsi="Times New Roman" w:eastAsia="Times New Roman"/>
          <w:sz w:val="24"/>
          <w:szCs w:val="24"/>
        </w:rPr>
      </w:pPr>
    </w:p>
    <w:p>
      <w:pPr>
        <w:pStyle w:val="Body A"/>
        <w:spacing w:before="200" w:line="480" w:lineRule="auto"/>
        <w:ind w:firstLine="720"/>
        <w:rPr>
          <w:rFonts w:ascii="Times New Roman" w:cs="Times New Roman" w:hAnsi="Times New Roman" w:eastAsia="Times New Roman"/>
          <w:outline w:val="0"/>
          <w:color w:val="333333"/>
          <w:sz w:val="24"/>
          <w:szCs w:val="24"/>
          <w:u w:color="333333"/>
          <w:shd w:val="clear" w:color="auto" w:fill="ffffff"/>
          <w14:textFill>
            <w14:solidFill>
              <w14:srgbClr w14:val="333333"/>
            </w14:solidFill>
          </w14:textFill>
        </w:rPr>
      </w:pPr>
      <w:r>
        <w:rPr>
          <w:rFonts w:ascii="Times New Roman" w:hAnsi="Times New Roman"/>
          <w:sz w:val="24"/>
          <w:szCs w:val="24"/>
          <w:rtl w:val="0"/>
          <w:lang w:val="en-US"/>
        </w:rPr>
        <w:t>The strategic pursuit of employment of a fluid, multigenerational workforce represents a critical component in the successful, continuous and inclusive development of an improved, cohesive, collaborative, diversely skilled, technically competent, mutually respectful and compassionate, efficient and effective healthcare staff. The desirable benefit of an effective intergenerational socialization process would be to mesh and optimize multigenerational healthcare skills characterized by unique generational qualities such as teamwork, collectivism and work as well as recognition orientation on behalf of the baby boomer generation, offset by generation X</w:t>
      </w:r>
      <w:r>
        <w:rPr>
          <w:rFonts w:ascii="Times New Roman" w:hAnsi="Times New Roman" w:hint="default"/>
          <w:sz w:val="24"/>
          <w:szCs w:val="24"/>
          <w:rtl w:val="0"/>
          <w:lang w:val="en-US"/>
        </w:rPr>
        <w:t>’</w:t>
      </w:r>
      <w:r>
        <w:rPr>
          <w:rFonts w:ascii="Times New Roman" w:hAnsi="Times New Roman"/>
          <w:sz w:val="24"/>
          <w:szCs w:val="24"/>
          <w:rtl w:val="0"/>
          <w:lang w:val="en-US"/>
        </w:rPr>
        <w:t xml:space="preserve">s defining qualities of self - reliance, questioning of validity of rules, participatory decision making processes and pursuit of independence, distinctly complemented by the Millennials enhanced qualities of technology expertise, preference for healthy work- life balance, acceptance of divergent values and compassion. This paper will highlight the research study </w:t>
      </w:r>
      <w:r>
        <w:rPr>
          <w:rFonts w:ascii="Times New Roman" w:hAnsi="Times New Roman" w:hint="default"/>
          <w:i w:val="1"/>
          <w:iCs w:val="1"/>
          <w:sz w:val="24"/>
          <w:szCs w:val="24"/>
          <w:rtl w:val="0"/>
          <w:lang w:val="en-US"/>
        </w:rPr>
        <w:t>‘</w:t>
      </w:r>
      <w:r>
        <w:rPr>
          <w:rFonts w:ascii="Times New Roman" w:hAnsi="Times New Roman"/>
          <w:i w:val="1"/>
          <w:iCs w:val="1"/>
          <w:outline w:val="0"/>
          <w:color w:val="212121"/>
          <w:sz w:val="24"/>
          <w:szCs w:val="24"/>
          <w:u w:color="212121"/>
          <w:shd w:val="clear" w:color="auto" w:fill="ffffff"/>
          <w:rtl w:val="0"/>
          <w:lang w:val="en-US"/>
          <w14:textFill>
            <w14:solidFill>
              <w14:srgbClr w14:val="212121"/>
            </w14:solidFill>
          </w14:textFill>
        </w:rPr>
        <w:t>Perceptions of Retired Nurses on Factors Preventing Younger Professional Nurses from Applying the Ethos of Ubuntu in Professional Care</w:t>
      </w:r>
      <w:r>
        <w:rPr>
          <w:rFonts w:ascii="Times New Roman" w:hAnsi="Times New Roman" w:hint="default"/>
          <w:i w:val="1"/>
          <w:iCs w:val="1"/>
          <w:outline w:val="0"/>
          <w:color w:val="212121"/>
          <w:sz w:val="24"/>
          <w:szCs w:val="24"/>
          <w:u w:color="212121"/>
          <w:shd w:val="clear" w:color="auto" w:fill="ffffff"/>
          <w:rtl w:val="0"/>
          <w:lang w:val="en-US"/>
          <w14:textFill>
            <w14:solidFill>
              <w14:srgbClr w14:val="212121"/>
            </w14:solidFill>
          </w14:textFill>
        </w:rPr>
        <w:t xml:space="preserve">’ </w:t>
      </w:r>
      <w:r>
        <w:rPr>
          <w:rFonts w:ascii="Times New Roman" w:hAnsi="Times New Roman"/>
          <w:outline w:val="0"/>
          <w:color w:val="212121"/>
          <w:sz w:val="24"/>
          <w:szCs w:val="24"/>
          <w:u w:color="212121"/>
          <w:shd w:val="clear" w:color="auto" w:fill="ffffff"/>
          <w:rtl w:val="0"/>
          <w:lang w:val="en-US"/>
          <w14:textFill>
            <w14:solidFill>
              <w14:srgbClr w14:val="212121"/>
            </w14:solidFill>
          </w14:textFill>
        </w:rPr>
        <w:t>published by</w:t>
      </w:r>
      <w:r>
        <w:rPr>
          <w:rFonts w:ascii="Times New Roman" w:hAnsi="Times New Roman"/>
          <w:i w:val="1"/>
          <w:iCs w:val="1"/>
          <w:outline w:val="0"/>
          <w:color w:val="212121"/>
          <w:sz w:val="24"/>
          <w:szCs w:val="24"/>
          <w:u w:color="212121"/>
          <w:shd w:val="clear" w:color="auto" w:fill="ffffff"/>
          <w:rtl w:val="0"/>
          <w14:textFill>
            <w14:solidFill>
              <w14:srgbClr w14:val="212121"/>
            </w14:solidFill>
          </w14:textFill>
        </w:rPr>
        <w:t xml:space="preserve"> </w:t>
      </w:r>
      <w:r>
        <w:rPr>
          <w:rFonts w:ascii="Times New Roman" w:hAnsi="Times New Roman"/>
          <w:sz w:val="24"/>
          <w:szCs w:val="24"/>
          <w:rtl w:val="0"/>
          <w:lang w:val="en-US"/>
        </w:rPr>
        <w:t xml:space="preserve">Mulaudzi FM, Anokwuru RA, Mogale R, Moloko-Phiri SS, DuPlessis MA (2022), which explores how new generations of nurses are strategically groomed and equipped with a solid grasp on technological advances in current medical academia and medicine; further emphasizing that the actual successful integration of a new generation of nurses significantly benefits from an onboarding, socialization undertaking during which transfer of practical hands-on skills, nursing values, professionalism and deeply rooted experience acquired over time by previous, experienced nursing generations can be imparted. The qualitative exploratory study being referenced in this paper, which used a workshop format as a data collection method, was conducted to research and document  perceptions of retired South African nurses which had been called back to service in 2006 by a </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 xml:space="preserve">national initiative from the Department of Health </w:t>
      </w:r>
      <w:r>
        <w:rPr>
          <w:rFonts w:ascii="Times New Roman" w:hAnsi="Times New Roman"/>
          <w:sz w:val="24"/>
          <w:szCs w:val="24"/>
          <w:rtl w:val="0"/>
          <w:lang w:val="en-US"/>
        </w:rPr>
        <w:t xml:space="preserve">due to staff shortages. During this time ideological conflicts arose between the retired and the young professional nurses. The retired nurses expressed that </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young professional nurses lacked professionalism at the bedside and ethics of care, which they felt compromised quality nursing care and damaged the image of the profession.The senior nurses summarized that the new generation of nurses demonstrates a lack of Ubuntu</w:t>
      </w:r>
      <w:r>
        <w:rPr>
          <w:rFonts w:ascii="Times New Roman" w:hAnsi="Times New Roman"/>
          <w:i w:val="1"/>
          <w:iCs w:val="1"/>
          <w:outline w:val="0"/>
          <w:color w:val="333333"/>
          <w:sz w:val="24"/>
          <w:szCs w:val="24"/>
          <w:u w:color="333333"/>
          <w:shd w:val="clear" w:color="auto" w:fill="ffffff"/>
          <w:rtl w:val="0"/>
          <w14:textFill>
            <w14:solidFill>
              <w14:srgbClr w14:val="333333"/>
            </w14:solidFill>
          </w14:textFill>
        </w:rPr>
        <w:t xml:space="preserve"> </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in their daily practice. Ubuntu is an African philosophy historically deeply embedded in high quality patient care, composed of difficult to quantify caring qualities such as mutual respect, recognition, and relational and reciprocity, compassion, honesty, trust, and commitment, and is viewed as a core value of the nursing profession, which is highly valued by older generations of nursing professionals. As younger generations of nurses are maturing into their role as the future of the nursing profession it was thought that, alongside technical and technological abilities, critical core values must be upheld to continue the profession in a good light. The research study, conducted according to the guidelines of the consolidated criteria for reporting qualitative research (COREQ</w:t>
      </w:r>
      <w:r>
        <w:rPr>
          <w:rFonts w:ascii="Arial" w:hAnsi="Arial"/>
          <w:outline w:val="0"/>
          <w:color w:val="333333"/>
          <w:sz w:val="24"/>
          <w:szCs w:val="24"/>
          <w:u w:color="333333"/>
          <w:shd w:val="clear" w:color="auto" w:fill="ffffff"/>
          <w:rtl w:val="0"/>
          <w14:textFill>
            <w14:solidFill>
              <w14:srgbClr w14:val="333333"/>
            </w14:solidFill>
          </w14:textFill>
        </w:rPr>
        <w:t xml:space="preserve">), </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was initiated to determine the cause of the perceived lack of expression of ubuntu ethos in the clinical practice habits of new, younger nurse generations.  The sampling of the participants for this research study were 40 retired nurses recruited using snowball and purposive sampling techniques</w:t>
      </w:r>
      <w:r>
        <w:rPr>
          <w:rFonts w:ascii="Arial" w:hAnsi="Arial"/>
          <w:outline w:val="0"/>
          <w:color w:val="333333"/>
          <w:sz w:val="24"/>
          <w:szCs w:val="24"/>
          <w:u w:color="333333"/>
          <w:shd w:val="clear" w:color="auto" w:fill="ffffff"/>
          <w:rtl w:val="0"/>
          <w14:textFill>
            <w14:solidFill>
              <w14:srgbClr w14:val="333333"/>
            </w14:solidFill>
          </w14:textFill>
        </w:rPr>
        <w:t>.</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 xml:space="preserve"> The age group of all retired nurses who voluntarily participated in the study ranged from 63</w:t>
      </w:r>
      <w:r>
        <w:rPr>
          <w:rFonts w:ascii="Times New Roman" w:hAnsi="Times New Roman" w:hint="default"/>
          <w:outline w:val="0"/>
          <w:color w:val="333333"/>
          <w:sz w:val="24"/>
          <w:szCs w:val="24"/>
          <w:u w:color="333333"/>
          <w:shd w:val="clear" w:color="auto" w:fill="ffffff"/>
          <w:rtl w:val="0"/>
          <w:lang w:val="en-US"/>
          <w14:textFill>
            <w14:solidFill>
              <w14:srgbClr w14:val="333333"/>
            </w14:solidFill>
          </w14:textFill>
        </w:rPr>
        <w:t>–</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 xml:space="preserve">67 years. All study participants worked in the public sector prior to retirement and were Christians by faith. The Faculty of Health Sciences Research Ethics Committee at the University of Pretoria approved this study with Ethical Clearance number 192/2020. At the start of the workshop the outlined purpose was shared with the participants, after which four equal groups were created to engage in meaningful, interactive verbal exchange. The group discussions were recorded and transcribed verbatim, and analyzed following six criteria as outlined and agreed upon by researchers prior to implementation, creating flipcharts with agreed upon codes signifying participant responses, this was implemented to create quantifiable information. Final themes emerged after the workshop data was assessed and evaluated, findings then were shared amongst the researchers. It was determined that based on the interpretation of the research study results new nursing generations need positive motivation to encourage the expression of the ubuntu ethos, imparting the understanding that nursing is a deeply rooted call to service and not just a job or profession. A sub-theme stifling the spirit of Ubuntu was recognized as lack of opportunity for continuous professional development, shortages of both human and material resources, increased workload, and poor remuneration for nurses, which resulted in emotional distress for health care professionals. An overriding sentiment expressed by many study participants during the group discussions was that in nursing a caring attitude transcends any other benefit that comes with being a nurse, daily selflessness and commitment to serve patients with Ubuntu has to be the foundation and underlying current of motivation in the healthcare setting. The data collected in this study inspired to foster an initiative in the African public healthcare field, which was successful in improving the mentoring outcomes of young professional nurses, encouraging them towards rendering quality care by a socialization process which focussed on transfer of Ubuntu values, skills and hands-on knowledge from senior nursing generations to newly graduated nurses. </w:t>
      </w:r>
    </w:p>
    <w:p>
      <w:pPr>
        <w:pStyle w:val="Body A"/>
        <w:spacing w:before="200" w:line="480" w:lineRule="auto"/>
        <w:ind w:firstLine="720"/>
        <w:rPr>
          <w:rFonts w:ascii="Times New Roman" w:cs="Times New Roman" w:hAnsi="Times New Roman" w:eastAsia="Times New Roman"/>
          <w:b w:val="1"/>
          <w:bCs w:val="1"/>
          <w:sz w:val="24"/>
          <w:szCs w:val="24"/>
        </w:rPr>
      </w:pPr>
      <w:r>
        <w:rPr>
          <w:rFonts w:ascii="Times New Roman" w:hAnsi="Times New Roman"/>
          <w:sz w:val="24"/>
          <w:szCs w:val="24"/>
          <w:rtl w:val="0"/>
          <w:lang w:val="en-US"/>
        </w:rPr>
        <w:t xml:space="preserve">An article published by Sultan Qaboos University Medical Journal </w:t>
      </w:r>
      <w:r>
        <w:rPr>
          <w:rFonts w:ascii="Roboto" w:cs="Roboto" w:hAnsi="Roboto" w:eastAsia="Roboto"/>
          <w:outline w:val="0"/>
          <w:color w:val="212121"/>
          <w:sz w:val="24"/>
          <w:szCs w:val="24"/>
          <w:u w:color="212121"/>
          <w:shd w:val="clear" w:color="auto" w:fill="ffffff"/>
          <w:rtl w:val="0"/>
          <w14:textFill>
            <w14:solidFill>
              <w14:srgbClr w14:val="212121"/>
            </w14:solidFill>
          </w14:textFill>
        </w:rPr>
        <w:t xml:space="preserve">(2022) </w:t>
      </w:r>
      <w:r>
        <w:rPr>
          <w:rFonts w:ascii="Times New Roman" w:hAnsi="Times New Roman"/>
          <w:sz w:val="24"/>
          <w:szCs w:val="24"/>
          <w:rtl w:val="0"/>
          <w:lang w:val="en-US"/>
        </w:rPr>
        <w:t xml:space="preserve">agrees, but states that also inversely </w:t>
      </w:r>
      <w:r>
        <w:rPr>
          <w:rFonts w:ascii="Times New Roman" w:hAnsi="Times New Roman"/>
          <w:outline w:val="0"/>
          <w:color w:val="212121"/>
          <w:sz w:val="24"/>
          <w:szCs w:val="24"/>
          <w:u w:color="212121"/>
          <w:shd w:val="clear" w:color="auto" w:fill="ffffff"/>
          <w:rtl w:val="0"/>
          <w:lang w:val="en-US"/>
          <w14:textFill>
            <w14:solidFill>
              <w14:srgbClr w14:val="212121"/>
            </w14:solidFill>
          </w14:textFill>
        </w:rPr>
        <w:t>reverse mentoring occurs when a technically competent next generation healthcare employee mentors a senior experienced employee, thus enhancing the quality of pre-existing nursing skill sets and advancing technical competency of senior nurses.</w:t>
      </w:r>
      <w:r>
        <w:rPr>
          <w:rFonts w:ascii="Times New Roman" w:hAnsi="Times New Roman"/>
          <w:sz w:val="24"/>
          <w:szCs w:val="24"/>
          <w:rtl w:val="0"/>
        </w:rPr>
        <w:t xml:space="preserve"> </w:t>
      </w:r>
      <w:r>
        <w:rPr>
          <w:rFonts w:ascii="Times New Roman" w:hAnsi="Times New Roman"/>
          <w:outline w:val="0"/>
          <w:color w:val="212121"/>
          <w:sz w:val="24"/>
          <w:szCs w:val="24"/>
          <w:u w:color="212121"/>
          <w:shd w:val="clear" w:color="auto" w:fill="ffffff"/>
          <w:rtl w:val="0"/>
          <w14:textFill>
            <w14:solidFill>
              <w14:srgbClr w14:val="212121"/>
            </w14:solidFill>
          </w14:textFill>
        </w:rPr>
        <w:t>Madhavanprabhakaran</w:t>
      </w:r>
      <w:r>
        <w:rPr>
          <w:rFonts w:ascii="Times New Roman" w:hAnsi="Times New Roman" w:hint="default"/>
          <w:outline w:val="0"/>
          <w:color w:val="212121"/>
          <w:sz w:val="24"/>
          <w:szCs w:val="24"/>
          <w:u w:color="212121"/>
          <w:shd w:val="clear" w:color="auto" w:fill="ffffff"/>
          <w:rtl w:val="0"/>
          <w:lang w:val="en-US"/>
          <w14:textFill>
            <w14:solidFill>
              <w14:srgbClr w14:val="212121"/>
            </w14:solidFill>
          </w14:textFill>
        </w:rPr>
        <w:t>’</w:t>
      </w:r>
      <w:r>
        <w:rPr>
          <w:rFonts w:ascii="Times New Roman" w:hAnsi="Times New Roman"/>
          <w:outline w:val="0"/>
          <w:color w:val="212121"/>
          <w:sz w:val="24"/>
          <w:szCs w:val="24"/>
          <w:u w:color="212121"/>
          <w:shd w:val="clear" w:color="auto" w:fill="ffffff"/>
          <w:rtl w:val="0"/>
          <w:lang w:val="fr-FR"/>
          <w14:textFill>
            <w14:solidFill>
              <w14:srgbClr w14:val="212121"/>
            </w14:solidFill>
          </w14:textFill>
        </w:rPr>
        <w:t>s et al</w:t>
      </w:r>
      <w:r>
        <w:rPr>
          <w:rFonts w:ascii="Times New Roman" w:hAnsi="Times New Roman" w:hint="default"/>
          <w:outline w:val="0"/>
          <w:color w:val="212121"/>
          <w:sz w:val="24"/>
          <w:szCs w:val="24"/>
          <w:u w:color="212121"/>
          <w:shd w:val="clear" w:color="auto" w:fill="ffffff"/>
          <w:rtl w:val="0"/>
          <w:lang w:val="en-US"/>
          <w14:textFill>
            <w14:solidFill>
              <w14:srgbClr w14:val="212121"/>
            </w14:solidFill>
          </w14:textFill>
        </w:rPr>
        <w:t>’</w:t>
      </w:r>
      <w:r>
        <w:rPr>
          <w:rFonts w:ascii="Times New Roman" w:hAnsi="Times New Roman"/>
          <w:outline w:val="0"/>
          <w:color w:val="212121"/>
          <w:sz w:val="24"/>
          <w:szCs w:val="24"/>
          <w:u w:color="212121"/>
          <w:shd w:val="clear" w:color="auto" w:fill="ffffff"/>
          <w:rtl w:val="0"/>
          <w:lang w:val="en-US"/>
          <w14:textFill>
            <w14:solidFill>
              <w14:srgbClr w14:val="212121"/>
            </w14:solidFill>
          </w14:textFill>
        </w:rPr>
        <w:t xml:space="preserve">s special contribution article </w:t>
      </w:r>
      <w:r>
        <w:rPr>
          <w:rFonts w:ascii="Times New Roman" w:hAnsi="Times New Roman" w:hint="default"/>
          <w:i w:val="1"/>
          <w:iCs w:val="1"/>
          <w:outline w:val="0"/>
          <w:color w:val="212121"/>
          <w:sz w:val="24"/>
          <w:szCs w:val="24"/>
          <w:u w:color="212121"/>
          <w:shd w:val="clear" w:color="auto" w:fill="ffffff"/>
          <w:rtl w:val="0"/>
          <w:lang w:val="en-US"/>
          <w14:textFill>
            <w14:solidFill>
              <w14:srgbClr w14:val="212121"/>
            </w14:solidFill>
          </w14:textFill>
        </w:rPr>
        <w:t xml:space="preserve"> “</w:t>
      </w:r>
      <w:r>
        <w:rPr>
          <w:rFonts w:ascii="Times New Roman" w:hAnsi="Times New Roman"/>
          <w:i w:val="1"/>
          <w:iCs w:val="1"/>
          <w:outline w:val="0"/>
          <w:color w:val="212121"/>
          <w:sz w:val="24"/>
          <w:szCs w:val="24"/>
          <w:u w:color="212121"/>
          <w:shd w:val="clear" w:color="auto" w:fill="ffffff"/>
          <w:rtl w:val="0"/>
          <w:lang w:val="en-US"/>
          <w14:textFill>
            <w14:solidFill>
              <w14:srgbClr w14:val="212121"/>
            </w14:solidFill>
          </w14:textFill>
        </w:rPr>
        <w:t xml:space="preserve">Reverse Mentoring and Intergenerational Learning in Nursing'' </w:t>
      </w:r>
      <w:r>
        <w:rPr>
          <w:rFonts w:ascii="Times New Roman" w:hAnsi="Times New Roman"/>
          <w:outline w:val="0"/>
          <w:color w:val="212121"/>
          <w:sz w:val="24"/>
          <w:szCs w:val="24"/>
          <w:u w:color="212121"/>
          <w:shd w:val="clear" w:color="auto" w:fill="ffffff"/>
          <w:rtl w:val="0"/>
          <w:lang w:val="en-US"/>
          <w14:textFill>
            <w14:solidFill>
              <w14:srgbClr w14:val="212121"/>
            </w14:solidFill>
          </w14:textFill>
        </w:rPr>
        <w:t xml:space="preserve">published by </w:t>
      </w:r>
      <w:r>
        <w:rPr>
          <w:rFonts w:ascii="Times New Roman" w:hAnsi="Times New Roman"/>
          <w:sz w:val="24"/>
          <w:szCs w:val="24"/>
          <w:rtl w:val="0"/>
          <w:lang w:val="en-US"/>
        </w:rPr>
        <w:t xml:space="preserve">Sultan Qaboos University Medical Journal </w:t>
      </w:r>
      <w:r>
        <w:rPr>
          <w:rFonts w:ascii="Times New Roman" w:hAnsi="Times New Roman"/>
          <w:outline w:val="0"/>
          <w:color w:val="212121"/>
          <w:sz w:val="24"/>
          <w:szCs w:val="24"/>
          <w:u w:color="212121"/>
          <w:shd w:val="clear" w:color="auto" w:fill="ffffff"/>
          <w:rtl w:val="0"/>
          <w14:textFill>
            <w14:solidFill>
              <w14:srgbClr w14:val="212121"/>
            </w14:solidFill>
          </w14:textFill>
        </w:rPr>
        <w:t>(2022)</w:t>
      </w:r>
      <w:r>
        <w:rPr>
          <w:rFonts w:ascii="Roboto" w:cs="Roboto" w:hAnsi="Roboto" w:eastAsia="Roboto"/>
          <w:outline w:val="0"/>
          <w:color w:val="212121"/>
          <w:sz w:val="24"/>
          <w:szCs w:val="24"/>
          <w:u w:color="212121"/>
          <w:shd w:val="clear" w:color="auto" w:fill="ffffff"/>
          <w:rtl w:val="0"/>
          <w14:textFill>
            <w14:solidFill>
              <w14:srgbClr w14:val="212121"/>
            </w14:solidFill>
          </w14:textFill>
        </w:rPr>
        <w:t>,</w:t>
      </w:r>
      <w:r>
        <w:rPr>
          <w:rFonts w:ascii="Times New Roman" w:hAnsi="Times New Roman"/>
          <w:outline w:val="0"/>
          <w:color w:val="212121"/>
          <w:sz w:val="24"/>
          <w:szCs w:val="24"/>
          <w:u w:color="212121"/>
          <w:shd w:val="clear" w:color="auto" w:fill="ffffff"/>
          <w:rtl w:val="0"/>
          <w:lang w:val="en-US"/>
          <w14:textFill>
            <w14:solidFill>
              <w14:srgbClr w14:val="212121"/>
            </w14:solidFill>
          </w14:textFill>
        </w:rPr>
        <w:t xml:space="preserve"> aims to discuss how the scope </w:t>
      </w:r>
      <w:r>
        <w:rPr>
          <w:rFonts w:ascii="Times New Roman" w:hAnsi="Times New Roman"/>
          <w:sz w:val="24"/>
          <w:szCs w:val="24"/>
          <w:rtl w:val="0"/>
          <w:lang w:val="en-US"/>
        </w:rPr>
        <w:t>of reverse mentoring and intergenerational learning may be utilized as a</w:t>
      </w:r>
      <w:r>
        <w:rPr>
          <w:rFonts w:ascii="Times New Roman" w:hAnsi="Times New Roman"/>
          <w:outline w:val="0"/>
          <w:color w:val="212121"/>
          <w:sz w:val="30"/>
          <w:szCs w:val="30"/>
          <w:u w:color="212121"/>
          <w:shd w:val="clear" w:color="auto" w:fill="ffffff"/>
          <w:rtl w:val="0"/>
          <w14:textFill>
            <w14:solidFill>
              <w14:srgbClr w14:val="212121"/>
            </w14:solidFill>
          </w14:textFill>
        </w:rPr>
        <w:t xml:space="preserve"> </w:t>
      </w:r>
      <w:r>
        <w:rPr>
          <w:rFonts w:ascii="Times New Roman" w:hAnsi="Times New Roman"/>
          <w:outline w:val="0"/>
          <w:color w:val="212121"/>
          <w:sz w:val="24"/>
          <w:szCs w:val="24"/>
          <w:u w:color="212121"/>
          <w:shd w:val="clear" w:color="auto" w:fill="ffffff"/>
          <w:rtl w:val="0"/>
          <w14:textFill>
            <w14:solidFill>
              <w14:srgbClr w14:val="212121"/>
            </w14:solidFill>
          </w14:textFill>
        </w:rPr>
        <w:t>robust,</w:t>
      </w:r>
      <w:r>
        <w:rPr>
          <w:rFonts w:ascii="Times New Roman" w:hAnsi="Times New Roman"/>
          <w:outline w:val="0"/>
          <w:color w:val="212121"/>
          <w:sz w:val="30"/>
          <w:szCs w:val="30"/>
          <w:u w:color="212121"/>
          <w:shd w:val="clear" w:color="auto" w:fill="ffffff"/>
          <w:rtl w:val="0"/>
          <w14:textFill>
            <w14:solidFill>
              <w14:srgbClr w14:val="212121"/>
            </w14:solidFill>
          </w14:textFill>
        </w:rPr>
        <w:t xml:space="preserve"> </w:t>
      </w:r>
      <w:r>
        <w:rPr>
          <w:rFonts w:ascii="Times New Roman" w:hAnsi="Times New Roman"/>
          <w:outline w:val="0"/>
          <w:color w:val="212121"/>
          <w:sz w:val="24"/>
          <w:szCs w:val="24"/>
          <w:u w:color="212121"/>
          <w:shd w:val="clear" w:color="auto" w:fill="ffffff"/>
          <w:rtl w:val="0"/>
          <w:lang w:val="en-US"/>
          <w14:textFill>
            <w14:solidFill>
              <w14:srgbClr w14:val="212121"/>
            </w14:solidFill>
          </w14:textFill>
        </w:rPr>
        <w:t xml:space="preserve">sustainable and cost-effective intergenerational knowledge-sharing tool, solving the urgent need for technical competency and knowledge sharing among the diverse multigenerational nursing and healthcare workforce. </w:t>
      </w:r>
      <w:r>
        <w:rPr>
          <w:rFonts w:ascii="Times New Roman" w:hAnsi="Times New Roman"/>
          <w:outline w:val="0"/>
          <w:color w:val="212121"/>
          <w:sz w:val="23"/>
          <w:szCs w:val="23"/>
          <w:u w:color="212121"/>
          <w:shd w:val="clear" w:color="auto" w:fill="ffffff"/>
          <w:rtl w:val="0"/>
          <w:lang w:val="en-US"/>
          <w14:textFill>
            <w14:solidFill>
              <w14:srgbClr w14:val="212121"/>
            </w14:solidFill>
          </w14:textFill>
        </w:rPr>
        <w:t xml:space="preserve">Girija Madhavanprabhakaran et al (2022) brings to our attention that during the COVID-19 pandemic it became apparent that knowledge sharing was a critical key challenge within the multigenerational, diverse workforce. It was during this time that the cross-generational reverse mentoring approach was successfully utilized in hospital settings to rapidly improve technological skill sets by designating  younger, willing  healthcare professionals to mentor older, more senior employees in the use of the most current technology utilized in the treatment of patients during an emergent COVID-19 healthcare crisis, which proved to be an important tool in bringing together our various nursing generations and fostering a sense of unity as they were collaboratively working towards a common goal to improve patient health and survival outcomes. To build a cohesive, technologically competent healthcare staff, reverse mentoring implementation has been well documented to be an effective organizational vision in the development of a engaged, collaborative, committed and united multigenerational healthcare team. Inevitable shifts in the generational diversity of our healthcare workforce as well as continuous technological advances, which are employed to better serve our communities,  continuously challenge the healthcare profession; it is during this time that statistics of data collection designed to generate perceived strength and weakness assessments of currently employed healthcare professionals proves to be instrumental in devising a well-planned reverse mentoring program approach for existing healthcare organizations. Research team Girija Madhavanprabhakaran et al (2022) highlights that intergenerational socialization which employs a non hierarchical trajectory with emphasis on the bidirectional nature of the dynamic of a working mentor- mentee relationship, is one of the defining characteristics of the concept of reverse mentoring. This teaching method has created opportunities for improved intergenerational communication and performance outcomes, ultimately reflected in the improved quality of care and health outcomes our patients can enjoy when seeking competent medical treatment in established community healthcare settings. In the research study </w:t>
      </w:r>
      <w:r>
        <w:rPr>
          <w:rFonts w:ascii="Times New Roman" w:hAnsi="Times New Roman" w:hint="default"/>
          <w:i w:val="1"/>
          <w:iCs w:val="1"/>
          <w:outline w:val="0"/>
          <w:color w:val="212121"/>
          <w:sz w:val="24"/>
          <w:szCs w:val="24"/>
          <w:u w:color="212121"/>
          <w:shd w:val="clear" w:color="auto" w:fill="ffffff"/>
          <w:rtl w:val="0"/>
          <w:lang w:val="en-US"/>
          <w14:textFill>
            <w14:solidFill>
              <w14:srgbClr w14:val="212121"/>
            </w14:solidFill>
          </w14:textFill>
        </w:rPr>
        <w:t>“</w:t>
      </w:r>
      <w:r>
        <w:rPr>
          <w:rFonts w:ascii="Times New Roman" w:hAnsi="Times New Roman"/>
          <w:i w:val="1"/>
          <w:iCs w:val="1"/>
          <w:outline w:val="0"/>
          <w:color w:val="212121"/>
          <w:sz w:val="24"/>
          <w:szCs w:val="24"/>
          <w:u w:color="212121"/>
          <w:shd w:val="clear" w:color="auto" w:fill="ffffff"/>
          <w:rtl w:val="0"/>
          <w:lang w:val="en-US"/>
          <w14:textFill>
            <w14:solidFill>
              <w14:srgbClr w14:val="212121"/>
            </w14:solidFill>
          </w14:textFill>
        </w:rPr>
        <w:t>Nursing Professionals within the Intergenerational Context during the 20th and 21st Centuries: an Integrative Review</w:t>
      </w:r>
      <w:r>
        <w:rPr>
          <w:rFonts w:ascii="Times New Roman" w:hAnsi="Times New Roman" w:hint="default"/>
          <w:i w:val="1"/>
          <w:iCs w:val="1"/>
          <w:outline w:val="0"/>
          <w:color w:val="212121"/>
          <w:sz w:val="24"/>
          <w:szCs w:val="24"/>
          <w:u w:color="212121"/>
          <w:shd w:val="clear" w:color="auto" w:fill="ffffff"/>
          <w:rtl w:val="0"/>
          <w:lang w:val="en-US"/>
          <w14:textFill>
            <w14:solidFill>
              <w14:srgbClr w14:val="212121"/>
            </w14:solidFill>
          </w14:textFill>
        </w:rPr>
        <w:t>”</w:t>
      </w:r>
      <w:r>
        <w:rPr>
          <w:rFonts w:ascii="Times New Roman" w:hAnsi="Times New Roman"/>
          <w:outline w:val="0"/>
          <w:color w:val="212121"/>
          <w:sz w:val="24"/>
          <w:szCs w:val="24"/>
          <w:u w:color="212121"/>
          <w:shd w:val="clear" w:color="auto" w:fill="ffffff"/>
          <w:rtl w:val="0"/>
          <w:lang w:val="en-US"/>
          <w14:textFill>
            <w14:solidFill>
              <w14:srgbClr w14:val="212121"/>
            </w14:solidFill>
          </w14:textFill>
        </w:rPr>
        <w:t xml:space="preserve"> published</w:t>
      </w:r>
      <w:r>
        <w:rPr>
          <w:rFonts w:ascii="Times New Roman" w:hAnsi="Times New Roman"/>
          <w:i w:val="1"/>
          <w:iCs w:val="1"/>
          <w:outline w:val="0"/>
          <w:color w:val="212121"/>
          <w:sz w:val="24"/>
          <w:szCs w:val="24"/>
          <w:u w:color="212121"/>
          <w:shd w:val="clear" w:color="auto" w:fill="ffffff"/>
          <w:rtl w:val="0"/>
          <w14:textFill>
            <w14:solidFill>
              <w14:srgbClr w14:val="212121"/>
            </w14:solidFill>
          </w14:textFill>
        </w:rPr>
        <w:t xml:space="preserve"> </w:t>
      </w:r>
      <w:r>
        <w:rPr>
          <w:rFonts w:ascii="Times New Roman" w:hAnsi="Times New Roman"/>
          <w:outline w:val="0"/>
          <w:color w:val="212121"/>
          <w:sz w:val="24"/>
          <w:szCs w:val="24"/>
          <w:u w:color="212121"/>
          <w:shd w:val="clear" w:color="auto" w:fill="ffffff"/>
          <w:rtl w:val="0"/>
          <w14:textFill>
            <w14:solidFill>
              <w14:srgbClr w14:val="212121"/>
            </w14:solidFill>
          </w14:textFill>
        </w:rPr>
        <w:t xml:space="preserve">by </w:t>
      </w:r>
      <w:r>
        <w:rPr>
          <w:rFonts w:ascii="Times New Roman" w:hAnsi="Times New Roman"/>
          <w:outline w:val="0"/>
          <w:color w:val="212121"/>
          <w:sz w:val="21"/>
          <w:szCs w:val="21"/>
          <w:u w:color="212121"/>
          <w:shd w:val="clear" w:color="auto" w:fill="ffffff"/>
          <w:rtl w:val="0"/>
          <w:lang w:val="pt-PT"/>
          <w14:textFill>
            <w14:solidFill>
              <w14:srgbClr w14:val="212121"/>
            </w14:solidFill>
          </w14:textFill>
        </w:rPr>
        <w:t xml:space="preserve">Rollan Oliveira S </w:t>
      </w:r>
      <w:r>
        <w:rPr>
          <w:rFonts w:ascii="Times New Roman" w:hAnsi="Times New Roman"/>
          <w:outline w:val="0"/>
          <w:color w:val="212121"/>
          <w:sz w:val="24"/>
          <w:szCs w:val="24"/>
          <w:u w:color="212121"/>
          <w:shd w:val="clear" w:color="auto" w:fill="ffffff"/>
          <w:rtl w:val="0"/>
          <w:lang w:val="en-US"/>
          <w14:textFill>
            <w14:solidFill>
              <w14:srgbClr w14:val="212121"/>
            </w14:solidFill>
          </w14:textFill>
        </w:rPr>
        <w:t xml:space="preserve">at al, the authors bring to our attention how acknowledgement of generational differences not only in our generations of nursing professionals but also in our multigenerational patient community can enlighten healthcare workers on how to achieve improved patient satisfaction ratings with regard for generationally diverse social and human needs. Different nursing perspectives arising out of unique historical contexts which already co-exist in most health care settings, if recognized for their diversity of characteristic and value within the organization, may be utilized advantageously to accommodate patients with generationally specific preferences and distinct generational social and human needs. The creation of an environment respectful of their nurses for their differences has been determined to be key to generate collective healthcare worker commitment and promote satisfaction in the workplace, a critical factor also affecting desirable patient health outcomes. Focussed reverse mentoring should be employed as a valuable tool to facilitate the process of updating an aging nursing populations level of competence, to serve as an evidence-based strategy to combat inadequate client care skillsets if determined present with a more senior nursing generation, with the consideration discussed in the article </w:t>
      </w:r>
      <w:r>
        <w:rPr>
          <w:rFonts w:ascii="Times New Roman" w:hAnsi="Times New Roman" w:hint="default"/>
          <w:i w:val="1"/>
          <w:iCs w:val="1"/>
          <w:outline w:val="0"/>
          <w:color w:val="212121"/>
          <w:sz w:val="24"/>
          <w:szCs w:val="24"/>
          <w:u w:color="212121"/>
          <w:shd w:val="clear" w:color="auto" w:fill="ffffff"/>
          <w:rtl w:val="0"/>
          <w:lang w:val="en-US"/>
          <w14:textFill>
            <w14:solidFill>
              <w14:srgbClr w14:val="212121"/>
            </w14:solidFill>
          </w14:textFill>
        </w:rPr>
        <w:t>‘</w:t>
      </w:r>
      <w:r>
        <w:rPr>
          <w:rFonts w:ascii="Times New Roman" w:hAnsi="Times New Roman"/>
          <w:i w:val="1"/>
          <w:iCs w:val="1"/>
          <w:outline w:val="0"/>
          <w:color w:val="212121"/>
          <w:sz w:val="24"/>
          <w:szCs w:val="24"/>
          <w:u w:color="212121"/>
          <w:shd w:val="clear" w:color="auto" w:fill="ffffff"/>
          <w:rtl w:val="0"/>
          <w:lang w:val="en-US"/>
          <w14:textFill>
            <w14:solidFill>
              <w14:srgbClr w14:val="212121"/>
            </w14:solidFill>
          </w14:textFill>
        </w:rPr>
        <w:t>COVID-19 and the aging workforce: global perspectives on needs and solutions across 15 countries</w:t>
      </w:r>
      <w:r>
        <w:rPr>
          <w:rFonts w:ascii="Times New Roman" w:hAnsi="Times New Roman" w:hint="default"/>
          <w:i w:val="1"/>
          <w:iCs w:val="1"/>
          <w:outline w:val="0"/>
          <w:color w:val="212121"/>
          <w:sz w:val="24"/>
          <w:szCs w:val="24"/>
          <w:u w:color="212121"/>
          <w:shd w:val="clear" w:color="auto" w:fill="ffffff"/>
          <w:rtl w:val="0"/>
          <w:lang w:val="en-US"/>
          <w14:textFill>
            <w14:solidFill>
              <w14:srgbClr w14:val="212121"/>
            </w14:solidFill>
          </w14:textFill>
        </w:rPr>
        <w:t xml:space="preserve">’ </w:t>
      </w:r>
      <w:r>
        <w:rPr>
          <w:rFonts w:ascii="Times New Roman" w:hAnsi="Times New Roman"/>
          <w:outline w:val="0"/>
          <w:color w:val="212121"/>
          <w:sz w:val="24"/>
          <w:szCs w:val="24"/>
          <w:u w:color="212121"/>
          <w:shd w:val="clear" w:color="auto" w:fill="ffffff"/>
          <w:rtl w:val="0"/>
          <w:lang w:val="en-US"/>
          <w14:textFill>
            <w14:solidFill>
              <w14:srgbClr w14:val="212121"/>
            </w14:solidFill>
          </w14:textFill>
        </w:rPr>
        <w:t xml:space="preserve">published by Sabrina Pit et al. Int J Equity Health (2021), featuring  the complex phenomenon of not solely a primarily chronological aging of the health care workforce, but instead a functional aging due to lack of updated technical nursing knowledge, specifically referencing the prerequisite knowledge of applied current technology necessary to serve as a viable healthcare employee in today's health care settings. In closing, the participants in the featured research study </w:t>
      </w:r>
      <w:r>
        <w:rPr>
          <w:rFonts w:ascii="Times New Roman" w:hAnsi="Times New Roman" w:hint="default"/>
          <w:i w:val="1"/>
          <w:iCs w:val="1"/>
          <w:outline w:val="0"/>
          <w:color w:val="212121"/>
          <w:sz w:val="24"/>
          <w:szCs w:val="24"/>
          <w:u w:color="212121"/>
          <w:shd w:val="clear" w:color="auto" w:fill="ffffff"/>
          <w:rtl w:val="0"/>
          <w:lang w:val="en-US"/>
          <w14:textFill>
            <w14:solidFill>
              <w14:srgbClr w14:val="212121"/>
            </w14:solidFill>
          </w14:textFill>
        </w:rPr>
        <w:t>‘</w:t>
      </w:r>
      <w:r>
        <w:rPr>
          <w:rFonts w:ascii="Times New Roman" w:hAnsi="Times New Roman"/>
          <w:i w:val="1"/>
          <w:iCs w:val="1"/>
          <w:outline w:val="0"/>
          <w:color w:val="212121"/>
          <w:sz w:val="24"/>
          <w:szCs w:val="24"/>
          <w:u w:color="212121"/>
          <w:shd w:val="clear" w:color="auto" w:fill="ffffff"/>
          <w:rtl w:val="0"/>
          <w:lang w:val="en-US"/>
          <w14:textFill>
            <w14:solidFill>
              <w14:srgbClr w14:val="212121"/>
            </w14:solidFill>
          </w14:textFill>
        </w:rPr>
        <w:t>Perceptions of Retired Nurses on Factors Preventing Younger Professional Nurses from Applying the Ethos of Ubuntu in Professional Care</w:t>
      </w:r>
      <w:r>
        <w:rPr>
          <w:rFonts w:ascii="Times New Roman" w:hAnsi="Times New Roman" w:hint="default"/>
          <w:i w:val="1"/>
          <w:iCs w:val="1"/>
          <w:outline w:val="0"/>
          <w:color w:val="212121"/>
          <w:sz w:val="24"/>
          <w:szCs w:val="24"/>
          <w:u w:color="212121"/>
          <w:shd w:val="clear" w:color="auto" w:fill="ffffff"/>
          <w:rtl w:val="0"/>
          <w:lang w:val="en-US"/>
          <w14:textFill>
            <w14:solidFill>
              <w14:srgbClr w14:val="212121"/>
            </w14:solidFill>
          </w14:textFill>
        </w:rPr>
        <w:t>’</w:t>
      </w:r>
      <w:r>
        <w:rPr>
          <w:rFonts w:ascii="Times New Roman" w:hAnsi="Times New Roman"/>
          <w:outline w:val="0"/>
          <w:color w:val="212121"/>
          <w:sz w:val="24"/>
          <w:szCs w:val="24"/>
          <w:u w:color="212121"/>
          <w:shd w:val="clear" w:color="auto" w:fill="ffffff"/>
          <w:rtl w:val="0"/>
          <w:lang w:val="en-US"/>
          <w14:textFill>
            <w14:solidFill>
              <w14:srgbClr w14:val="212121"/>
            </w14:solidFill>
          </w14:textFill>
        </w:rPr>
        <w:t xml:space="preserve"> published by</w:t>
      </w:r>
      <w:r>
        <w:rPr>
          <w:rFonts w:ascii="Times New Roman" w:hAnsi="Times New Roman"/>
          <w:i w:val="1"/>
          <w:iCs w:val="1"/>
          <w:outline w:val="0"/>
          <w:color w:val="212121"/>
          <w:sz w:val="24"/>
          <w:szCs w:val="24"/>
          <w:u w:color="212121"/>
          <w:shd w:val="clear" w:color="auto" w:fill="ffffff"/>
          <w:rtl w:val="0"/>
          <w14:textFill>
            <w14:solidFill>
              <w14:srgbClr w14:val="212121"/>
            </w14:solidFill>
          </w14:textFill>
        </w:rPr>
        <w:t xml:space="preserve"> </w:t>
      </w:r>
      <w:r>
        <w:rPr>
          <w:rFonts w:ascii="Times New Roman" w:hAnsi="Times New Roman"/>
          <w:sz w:val="24"/>
          <w:szCs w:val="24"/>
          <w:rtl w:val="0"/>
        </w:rPr>
        <w:t xml:space="preserve">Mulaudzi FM et al (2022) </w:t>
      </w:r>
      <w:r>
        <w:rPr>
          <w:rFonts w:ascii="Times New Roman" w:hAnsi="Times New Roman"/>
          <w:outline w:val="0"/>
          <w:color w:val="212121"/>
          <w:sz w:val="24"/>
          <w:szCs w:val="24"/>
          <w:u w:color="212121"/>
          <w:shd w:val="clear" w:color="auto" w:fill="ffffff"/>
          <w:rtl w:val="0"/>
          <w:lang w:val="en-US"/>
          <w14:textFill>
            <w14:solidFill>
              <w14:srgbClr w14:val="212121"/>
            </w14:solidFill>
          </w14:textFill>
        </w:rPr>
        <w:t>quantifiably</w:t>
      </w:r>
      <w:r>
        <w:rPr>
          <w:rFonts w:ascii="Times New Roman" w:hAnsi="Times New Roman"/>
          <w:i w:val="1"/>
          <w:iCs w:val="1"/>
          <w:outline w:val="0"/>
          <w:color w:val="212121"/>
          <w:sz w:val="24"/>
          <w:szCs w:val="24"/>
          <w:u w:color="212121"/>
          <w:shd w:val="clear" w:color="auto" w:fill="ffffff"/>
          <w:rtl w:val="0"/>
          <w14:textFill>
            <w14:solidFill>
              <w14:srgbClr w14:val="212121"/>
            </w14:solidFill>
          </w14:textFill>
        </w:rPr>
        <w:t xml:space="preserve"> </w:t>
      </w:r>
      <w:r>
        <w:rPr>
          <w:rFonts w:ascii="Times New Roman" w:hAnsi="Times New Roman"/>
          <w:outline w:val="0"/>
          <w:color w:val="212121"/>
          <w:sz w:val="24"/>
          <w:szCs w:val="24"/>
          <w:u w:color="212121"/>
          <w:shd w:val="clear" w:color="auto" w:fill="ffffff"/>
          <w:rtl w:val="0"/>
          <w:lang w:val="en-US"/>
          <w14:textFill>
            <w14:solidFill>
              <w14:srgbClr w14:val="212121"/>
            </w14:solidFill>
          </w14:textFill>
        </w:rPr>
        <w:t xml:space="preserve">expressed that, to successfully address and functionally integrate challenges related to </w:t>
      </w:r>
      <w:r>
        <w:rPr>
          <w:rFonts w:ascii="Times New Roman" w:hAnsi="Times New Roman"/>
          <w:outline w:val="0"/>
          <w:color w:val="2d3b45"/>
          <w:sz w:val="24"/>
          <w:szCs w:val="24"/>
          <w:u w:color="2d3b45"/>
          <w:shd w:val="clear" w:color="auto" w:fill="ffffff"/>
          <w:rtl w:val="0"/>
          <w:lang w:val="en-US"/>
          <w14:textFill>
            <w14:solidFill>
              <w14:srgbClr w14:val="2D3B45"/>
            </w14:solidFill>
          </w14:textFill>
        </w:rPr>
        <w:t xml:space="preserve">generational diversity in current healthcare staff, it is crucial to continuously assess and evaluate quality and measurable implementation outcomes of intergenerational socialization programs to meet the highest possible standard of patient care and health outcomes. </w:t>
      </w:r>
    </w:p>
    <w:p>
      <w:pPr>
        <w:pStyle w:val="Body A"/>
        <w:spacing w:before="200" w:line="480" w:lineRule="auto"/>
        <w:ind w:firstLine="720"/>
        <w:rPr>
          <w:rFonts w:ascii="Times New Roman" w:cs="Times New Roman" w:hAnsi="Times New Roman" w:eastAsia="Times New Roman"/>
          <w:outline w:val="0"/>
          <w:color w:val="212121"/>
          <w:sz w:val="24"/>
          <w:szCs w:val="24"/>
          <w:u w:color="212121"/>
          <w:shd w:val="clear" w:color="auto" w:fill="ffffff"/>
          <w14:textFill>
            <w14:solidFill>
              <w14:srgbClr w14:val="212121"/>
            </w14:solidFill>
          </w14:textFill>
        </w:rPr>
      </w:pPr>
    </w:p>
    <w:p>
      <w:pPr>
        <w:pStyle w:val="Body A"/>
        <w:spacing w:before="200" w:line="480" w:lineRule="auto"/>
        <w:ind w:firstLine="720"/>
        <w:rPr>
          <w:rFonts w:ascii="Times New Roman" w:cs="Times New Roman" w:hAnsi="Times New Roman" w:eastAsia="Times New Roman"/>
          <w:outline w:val="0"/>
          <w:color w:val="212121"/>
          <w:sz w:val="24"/>
          <w:szCs w:val="24"/>
          <w:u w:color="212121"/>
          <w:shd w:val="clear" w:color="auto" w:fill="ffffff"/>
          <w14:textFill>
            <w14:solidFill>
              <w14:srgbClr w14:val="212121"/>
            </w14:solidFill>
          </w14:textFill>
        </w:rPr>
      </w:pPr>
    </w:p>
    <w:p>
      <w:pPr>
        <w:pStyle w:val="Body A"/>
        <w:spacing w:before="200" w:line="480" w:lineRule="auto"/>
        <w:ind w:firstLine="720"/>
        <w:rPr>
          <w:rFonts w:ascii="Times New Roman" w:cs="Times New Roman" w:hAnsi="Times New Roman" w:eastAsia="Times New Roman"/>
          <w:outline w:val="0"/>
          <w:color w:val="212121"/>
          <w:sz w:val="24"/>
          <w:szCs w:val="24"/>
          <w:u w:color="212121"/>
          <w:shd w:val="clear" w:color="auto" w:fill="ffffff"/>
          <w14:textFill>
            <w14:solidFill>
              <w14:srgbClr w14:val="212121"/>
            </w14:solidFill>
          </w14:textFill>
        </w:rPr>
      </w:pPr>
    </w:p>
    <w:p>
      <w:pPr>
        <w:pStyle w:val="Body A"/>
        <w:spacing w:before="200" w:line="480" w:lineRule="auto"/>
        <w:ind w:firstLine="720"/>
        <w:rPr>
          <w:rFonts w:ascii="Times New Roman" w:cs="Times New Roman" w:hAnsi="Times New Roman" w:eastAsia="Times New Roman"/>
          <w:outline w:val="0"/>
          <w:color w:val="212121"/>
          <w:sz w:val="24"/>
          <w:szCs w:val="24"/>
          <w:u w:color="212121"/>
          <w:shd w:val="clear" w:color="auto" w:fill="ffffff"/>
          <w14:textFill>
            <w14:solidFill>
              <w14:srgbClr w14:val="212121"/>
            </w14:solidFill>
          </w14:textFill>
        </w:rPr>
      </w:pPr>
    </w:p>
    <w:p>
      <w:pPr>
        <w:pStyle w:val="Body A"/>
        <w:spacing w:line="480" w:lineRule="auto"/>
        <w:ind w:firstLine="720"/>
        <w:rPr>
          <w:rFonts w:ascii="Times New Roman" w:cs="Times New Roman" w:hAnsi="Times New Roman" w:eastAsia="Times New Roman"/>
          <w:sz w:val="24"/>
          <w:szCs w:val="24"/>
        </w:rPr>
      </w:pPr>
    </w:p>
    <w:p>
      <w:pPr>
        <w:pStyle w:val="Body A"/>
        <w:spacing w:line="480" w:lineRule="auto"/>
        <w:ind w:firstLine="720"/>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b w:val="1"/>
          <w:bCs w:val="1"/>
          <w:sz w:val="24"/>
          <w:szCs w:val="24"/>
        </w:rPr>
      </w:pPr>
    </w:p>
    <w:p>
      <w:pPr>
        <w:pStyle w:val="Body A"/>
        <w:spacing w:line="480" w:lineRule="auto"/>
        <w:ind w:left="3600" w:firstLine="0"/>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fr-FR"/>
        </w:rPr>
        <w:t>References</w:t>
      </w:r>
    </w:p>
    <w:p>
      <w:pPr>
        <w:pStyle w:val="Body A"/>
        <w:spacing w:after="0" w:line="480" w:lineRule="auto"/>
        <w:rPr>
          <w:rFonts w:ascii="Times New Roman" w:cs="Times New Roman" w:hAnsi="Times New Roman" w:eastAsia="Times New Roman"/>
          <w:sz w:val="24"/>
          <w:szCs w:val="24"/>
        </w:rPr>
      </w:pPr>
    </w:p>
    <w:p>
      <w:pPr>
        <w:pStyle w:val="Body A"/>
        <w:spacing w:after="0" w:line="480" w:lineRule="auto"/>
        <w:ind w:left="720" w:hanging="720"/>
        <w:rPr>
          <w:rFonts w:ascii="Times New Roman" w:cs="Times New Roman" w:hAnsi="Times New Roman" w:eastAsia="Times New Roman"/>
          <w:outline w:val="0"/>
          <w:color w:val="212121"/>
          <w:sz w:val="24"/>
          <w:szCs w:val="24"/>
          <w:u w:color="212121"/>
          <w:shd w:val="clear" w:color="auto" w:fill="ffffff"/>
          <w14:textFill>
            <w14:solidFill>
              <w14:srgbClr w14:val="212121"/>
            </w14:solidFill>
          </w14:textFill>
        </w:rPr>
      </w:pPr>
      <w:r>
        <w:rPr>
          <w:rFonts w:ascii="Times New Roman" w:hAnsi="Times New Roman"/>
          <w:outline w:val="0"/>
          <w:color w:val="212121"/>
          <w:sz w:val="24"/>
          <w:szCs w:val="24"/>
          <w:u w:color="212121"/>
          <w:shd w:val="clear" w:color="auto" w:fill="ffffff"/>
          <w:rtl w:val="0"/>
          <w:lang w:val="en-US"/>
          <w14:textFill>
            <w14:solidFill>
              <w14:srgbClr w14:val="212121"/>
            </w14:solidFill>
          </w14:textFill>
        </w:rPr>
        <w:t xml:space="preserve">Mulaudzi, F. M., Anokwuru, R. A., Mogale, R., Moloko-Phiri, S. S., &amp; DuPlessis, M. A. (2022). Perceptions of Retired Nurses on Factors Preventing Younger Professional Nurses from Applying the Ethos of Ubuntu in Professional Care. </w:t>
      </w:r>
      <w:r>
        <w:rPr>
          <w:rFonts w:ascii="Times New Roman" w:hAnsi="Times New Roman"/>
          <w:i w:val="1"/>
          <w:iCs w:val="1"/>
          <w:outline w:val="0"/>
          <w:color w:val="212121"/>
          <w:sz w:val="24"/>
          <w:szCs w:val="24"/>
          <w:u w:color="212121"/>
          <w:shd w:val="clear" w:color="auto" w:fill="ffffff"/>
          <w:rtl w:val="0"/>
          <w:lang w:val="en-US"/>
          <w14:textFill>
            <w14:solidFill>
              <w14:srgbClr w14:val="212121"/>
            </w14:solidFill>
          </w14:textFill>
        </w:rPr>
        <w:t>SAGE open nursing</w:t>
      </w:r>
      <w:r>
        <w:rPr>
          <w:rFonts w:ascii="Times New Roman" w:hAnsi="Times New Roman"/>
          <w:outline w:val="0"/>
          <w:color w:val="212121"/>
          <w:sz w:val="24"/>
          <w:szCs w:val="24"/>
          <w:u w:color="212121"/>
          <w:shd w:val="clear" w:color="auto" w:fill="ffffff"/>
          <w:rtl w:val="0"/>
          <w14:textFill>
            <w14:solidFill>
              <w14:srgbClr w14:val="212121"/>
            </w14:solidFill>
          </w14:textFill>
        </w:rPr>
        <w:t xml:space="preserve">, </w:t>
      </w:r>
      <w:r>
        <w:rPr>
          <w:rFonts w:ascii="Times New Roman" w:hAnsi="Times New Roman"/>
          <w:i w:val="1"/>
          <w:iCs w:val="1"/>
          <w:outline w:val="0"/>
          <w:color w:val="212121"/>
          <w:sz w:val="24"/>
          <w:szCs w:val="24"/>
          <w:u w:color="212121"/>
          <w:shd w:val="clear" w:color="auto" w:fill="ffffff"/>
          <w:rtl w:val="0"/>
          <w14:textFill>
            <w14:solidFill>
              <w14:srgbClr w14:val="212121"/>
            </w14:solidFill>
          </w14:textFill>
        </w:rPr>
        <w:t>8</w:t>
      </w:r>
      <w:r>
        <w:rPr>
          <w:rFonts w:ascii="Times New Roman" w:hAnsi="Times New Roman"/>
          <w:outline w:val="0"/>
          <w:color w:val="212121"/>
          <w:sz w:val="24"/>
          <w:szCs w:val="24"/>
          <w:u w:color="212121"/>
          <w:shd w:val="clear" w:color="auto" w:fill="ffffff"/>
          <w:rtl w:val="0"/>
          <w14:textFill>
            <w14:solidFill>
              <w14:srgbClr w14:val="212121"/>
            </w14:solidFill>
          </w14:textFill>
        </w:rPr>
        <w:t>, 23779608221091072. https://doi.org/10.1177/23779608221091072</w:t>
      </w:r>
    </w:p>
    <w:p>
      <w:pPr>
        <w:pStyle w:val="Body A"/>
        <w:spacing w:after="0" w:line="480" w:lineRule="auto"/>
        <w:ind w:left="720" w:hanging="720"/>
        <w:rPr>
          <w:rFonts w:ascii="Times New Roman" w:cs="Times New Roman" w:hAnsi="Times New Roman" w:eastAsia="Times New Roman"/>
          <w:outline w:val="0"/>
          <w:color w:val="212121"/>
          <w:sz w:val="24"/>
          <w:szCs w:val="24"/>
          <w:u w:color="212121"/>
          <w:shd w:val="clear" w:color="auto" w:fill="ffffff"/>
          <w14:textFill>
            <w14:solidFill>
              <w14:srgbClr w14:val="212121"/>
            </w14:solidFill>
          </w14:textFill>
        </w:rPr>
      </w:pPr>
    </w:p>
    <w:p>
      <w:pPr>
        <w:pStyle w:val="Body A"/>
        <w:spacing w:after="0" w:line="480" w:lineRule="auto"/>
        <w:ind w:left="720" w:hanging="720"/>
        <w:rPr>
          <w:rFonts w:ascii="Times New Roman" w:cs="Times New Roman" w:hAnsi="Times New Roman" w:eastAsia="Times New Roman"/>
          <w:outline w:val="0"/>
          <w:color w:val="212121"/>
          <w:sz w:val="24"/>
          <w:szCs w:val="24"/>
          <w:u w:color="212121"/>
          <w:shd w:val="clear" w:color="auto" w:fill="ffffff"/>
          <w14:textFill>
            <w14:solidFill>
              <w14:srgbClr w14:val="212121"/>
            </w14:solidFill>
          </w14:textFill>
        </w:rPr>
      </w:pPr>
      <w:r>
        <w:rPr>
          <w:rFonts w:ascii="Times New Roman" w:hAnsi="Times New Roman"/>
          <w:outline w:val="0"/>
          <w:color w:val="212121"/>
          <w:sz w:val="24"/>
          <w:szCs w:val="24"/>
          <w:u w:color="212121"/>
          <w:shd w:val="clear" w:color="auto" w:fill="ffffff"/>
          <w:rtl w:val="0"/>
          <w:lang w:val="en-US"/>
          <w14:textFill>
            <w14:solidFill>
              <w14:srgbClr w14:val="212121"/>
            </w14:solidFill>
          </w14:textFill>
        </w:rPr>
        <w:t xml:space="preserve">Madhavan Prabhakaran, G., Francis, F., &amp; Labrague, L. J. (2022). Reverse Mentoring and Intergenerational Learning in Nursing: Bridging generational diversity. </w:t>
      </w:r>
      <w:r>
        <w:rPr>
          <w:rFonts w:ascii="Times New Roman" w:hAnsi="Times New Roman"/>
          <w:i w:val="1"/>
          <w:iCs w:val="1"/>
          <w:outline w:val="0"/>
          <w:color w:val="212121"/>
          <w:sz w:val="24"/>
          <w:szCs w:val="24"/>
          <w:u w:color="212121"/>
          <w:shd w:val="clear" w:color="auto" w:fill="ffffff"/>
          <w:rtl w:val="0"/>
          <w:lang w:val="en-US"/>
          <w14:textFill>
            <w14:solidFill>
              <w14:srgbClr w14:val="212121"/>
            </w14:solidFill>
          </w14:textFill>
        </w:rPr>
        <w:t>Sultan Qaboos University medical journal</w:t>
      </w:r>
      <w:r>
        <w:rPr>
          <w:rFonts w:ascii="Times New Roman" w:hAnsi="Times New Roman"/>
          <w:outline w:val="0"/>
          <w:color w:val="212121"/>
          <w:sz w:val="24"/>
          <w:szCs w:val="24"/>
          <w:u w:color="212121"/>
          <w:shd w:val="clear" w:color="auto" w:fill="ffffff"/>
          <w:rtl w:val="0"/>
          <w14:textFill>
            <w14:solidFill>
              <w14:srgbClr w14:val="212121"/>
            </w14:solidFill>
          </w14:textFill>
        </w:rPr>
        <w:t xml:space="preserve">, </w:t>
      </w:r>
      <w:r>
        <w:rPr>
          <w:rFonts w:ascii="Times New Roman" w:hAnsi="Times New Roman"/>
          <w:i w:val="1"/>
          <w:iCs w:val="1"/>
          <w:outline w:val="0"/>
          <w:color w:val="212121"/>
          <w:sz w:val="24"/>
          <w:szCs w:val="24"/>
          <w:u w:color="212121"/>
          <w:shd w:val="clear" w:color="auto" w:fill="ffffff"/>
          <w:rtl w:val="0"/>
          <w14:textFill>
            <w14:solidFill>
              <w14:srgbClr w14:val="212121"/>
            </w14:solidFill>
          </w14:textFill>
        </w:rPr>
        <w:t>22</w:t>
      </w:r>
      <w:r>
        <w:rPr>
          <w:rFonts w:ascii="Times New Roman" w:hAnsi="Times New Roman"/>
          <w:outline w:val="0"/>
          <w:color w:val="212121"/>
          <w:sz w:val="24"/>
          <w:szCs w:val="24"/>
          <w:u w:color="212121"/>
          <w:shd w:val="clear" w:color="auto" w:fill="ffffff"/>
          <w:rtl w:val="0"/>
          <w14:textFill>
            <w14:solidFill>
              <w14:srgbClr w14:val="212121"/>
            </w14:solidFill>
          </w14:textFill>
        </w:rPr>
        <w:t>(4), 472</w:t>
      </w:r>
      <w:r>
        <w:rPr>
          <w:rFonts w:ascii="Times New Roman" w:hAnsi="Times New Roman" w:hint="default"/>
          <w:outline w:val="0"/>
          <w:color w:val="212121"/>
          <w:sz w:val="24"/>
          <w:szCs w:val="24"/>
          <w:u w:color="212121"/>
          <w:shd w:val="clear" w:color="auto" w:fill="ffffff"/>
          <w:rtl w:val="0"/>
          <w:lang w:val="en-US"/>
          <w14:textFill>
            <w14:solidFill>
              <w14:srgbClr w14:val="212121"/>
            </w14:solidFill>
          </w14:textFill>
        </w:rPr>
        <w:t>–</w:t>
      </w:r>
      <w:r>
        <w:rPr>
          <w:rFonts w:ascii="Times New Roman" w:hAnsi="Times New Roman"/>
          <w:outline w:val="0"/>
          <w:color w:val="212121"/>
          <w:sz w:val="24"/>
          <w:szCs w:val="24"/>
          <w:u w:color="212121"/>
          <w:shd w:val="clear" w:color="auto" w:fill="ffffff"/>
          <w:rtl w:val="0"/>
          <w14:textFill>
            <w14:solidFill>
              <w14:srgbClr w14:val="212121"/>
            </w14:solidFill>
          </w14:textFill>
        </w:rPr>
        <w:t>478. https://doi.org/10.18295/squmj.4.2022.027</w:t>
      </w:r>
    </w:p>
    <w:p>
      <w:pPr>
        <w:pStyle w:val="Body A"/>
        <w:spacing w:after="0" w:line="480" w:lineRule="auto"/>
        <w:ind w:left="720" w:hanging="720"/>
        <w:rPr>
          <w:rFonts w:ascii="Times New Roman" w:cs="Times New Roman" w:hAnsi="Times New Roman" w:eastAsia="Times New Roman"/>
          <w:sz w:val="24"/>
          <w:szCs w:val="24"/>
        </w:rPr>
      </w:pPr>
    </w:p>
    <w:p>
      <w:pPr>
        <w:pStyle w:val="Body A"/>
        <w:spacing w:after="0" w:line="480" w:lineRule="auto"/>
        <w:ind w:left="720" w:hanging="720"/>
        <w:rPr>
          <w:rFonts w:ascii="Times New Roman" w:cs="Times New Roman" w:hAnsi="Times New Roman" w:eastAsia="Times New Roman"/>
          <w:outline w:val="0"/>
          <w:color w:val="212121"/>
          <w:sz w:val="24"/>
          <w:szCs w:val="24"/>
          <w:u w:color="212121"/>
          <w:shd w:val="clear" w:color="auto" w:fill="ffffff"/>
          <w14:textFill>
            <w14:solidFill>
              <w14:srgbClr w14:val="212121"/>
            </w14:solidFill>
          </w14:textFill>
        </w:rPr>
      </w:pPr>
      <w:r>
        <w:rPr>
          <w:rFonts w:ascii="Times New Roman" w:hAnsi="Times New Roman"/>
          <w:outline w:val="0"/>
          <w:color w:val="212121"/>
          <w:sz w:val="24"/>
          <w:szCs w:val="24"/>
          <w:u w:color="212121"/>
          <w:shd w:val="clear" w:color="auto" w:fill="ffffff"/>
          <w:rtl w:val="0"/>
          <w:lang w:val="de-DE"/>
          <w14:textFill>
            <w14:solidFill>
              <w14:srgbClr w14:val="212121"/>
            </w14:solidFill>
          </w14:textFill>
        </w:rPr>
        <w:t>Pit, S., Fisk, M., Freihaut, W., Akintunde, F., Aloko, B., Berge, B., Burmeister, A., Ciac</w:t>
      </w:r>
      <w:r>
        <w:rPr>
          <w:rFonts w:ascii="Times New Roman" w:hAnsi="Times New Roman" w:hint="default"/>
          <w:outline w:val="0"/>
          <w:color w:val="212121"/>
          <w:sz w:val="24"/>
          <w:szCs w:val="24"/>
          <w:u w:color="212121"/>
          <w:shd w:val="clear" w:color="auto" w:fill="ffffff"/>
          <w:rtl w:val="0"/>
          <w:lang w:val="en-US"/>
          <w14:textFill>
            <w14:solidFill>
              <w14:srgbClr w14:val="212121"/>
            </w14:solidFill>
          </w14:textFill>
        </w:rPr>
        <w:t>â</w:t>
      </w:r>
      <w:r>
        <w:rPr>
          <w:rFonts w:ascii="Times New Roman" w:hAnsi="Times New Roman"/>
          <w:outline w:val="0"/>
          <w:color w:val="212121"/>
          <w:sz w:val="24"/>
          <w:szCs w:val="24"/>
          <w:u w:color="212121"/>
          <w:shd w:val="clear" w:color="auto" w:fill="ffffff"/>
          <w:rtl w:val="0"/>
          <w:lang w:val="nl-NL"/>
          <w14:textFill>
            <w14:solidFill>
              <w14:srgbClr w14:val="212121"/>
            </w14:solidFill>
          </w14:textFill>
        </w:rPr>
        <w:t xml:space="preserve">ru, A., Deller, J., Dulmage, R., Han, T. H., Hao, Q., Honeyman, P., Huber, P. C., Linner, T., Lundberg, S., Nwamara, M., Punpuing, K., Schramm, J., Yamada, H., </w:t>
      </w:r>
      <w:r>
        <w:rPr>
          <w:rFonts w:ascii="Times New Roman" w:hAnsi="Times New Roman" w:hint="default"/>
          <w:outline w:val="0"/>
          <w:color w:val="212121"/>
          <w:sz w:val="24"/>
          <w:szCs w:val="24"/>
          <w:u w:color="212121"/>
          <w:shd w:val="clear" w:color="auto" w:fill="ffffff"/>
          <w:rtl w:val="0"/>
          <w:lang w:val="en-US"/>
          <w14:textFill>
            <w14:solidFill>
              <w14:srgbClr w14:val="212121"/>
            </w14:solidFill>
          </w14:textFill>
        </w:rPr>
        <w:t xml:space="preserve">… </w:t>
      </w:r>
      <w:r>
        <w:rPr>
          <w:rFonts w:ascii="Times New Roman" w:hAnsi="Times New Roman"/>
          <w:outline w:val="0"/>
          <w:color w:val="212121"/>
          <w:sz w:val="24"/>
          <w:szCs w:val="24"/>
          <w:u w:color="212121"/>
          <w:shd w:val="clear" w:color="auto" w:fill="ffffff"/>
          <w:rtl w:val="0"/>
          <w:lang w:val="en-US"/>
          <w14:textFill>
            <w14:solidFill>
              <w14:srgbClr w14:val="212121"/>
            </w14:solidFill>
          </w14:textFill>
        </w:rPr>
        <w:t xml:space="preserve">Yap, J. C. H. (2021). COVID-19 and the aging workforce: global perspectives on needs and solutions across 15 countries. </w:t>
      </w:r>
      <w:r>
        <w:rPr>
          <w:rFonts w:ascii="Times New Roman" w:hAnsi="Times New Roman"/>
          <w:i w:val="1"/>
          <w:iCs w:val="1"/>
          <w:outline w:val="0"/>
          <w:color w:val="212121"/>
          <w:sz w:val="24"/>
          <w:szCs w:val="24"/>
          <w:u w:color="212121"/>
          <w:shd w:val="clear" w:color="auto" w:fill="ffffff"/>
          <w:rtl w:val="0"/>
          <w:lang w:val="en-US"/>
          <w14:textFill>
            <w14:solidFill>
              <w14:srgbClr w14:val="212121"/>
            </w14:solidFill>
          </w14:textFill>
        </w:rPr>
        <w:t>International journal for equity in health</w:t>
      </w:r>
      <w:r>
        <w:rPr>
          <w:rFonts w:ascii="Times New Roman" w:hAnsi="Times New Roman"/>
          <w:outline w:val="0"/>
          <w:color w:val="212121"/>
          <w:sz w:val="24"/>
          <w:szCs w:val="24"/>
          <w:u w:color="212121"/>
          <w:shd w:val="clear" w:color="auto" w:fill="ffffff"/>
          <w:rtl w:val="0"/>
          <w14:textFill>
            <w14:solidFill>
              <w14:srgbClr w14:val="212121"/>
            </w14:solidFill>
          </w14:textFill>
        </w:rPr>
        <w:t xml:space="preserve">, </w:t>
      </w:r>
      <w:r>
        <w:rPr>
          <w:rFonts w:ascii="Times New Roman" w:hAnsi="Times New Roman"/>
          <w:i w:val="1"/>
          <w:iCs w:val="1"/>
          <w:outline w:val="0"/>
          <w:color w:val="212121"/>
          <w:sz w:val="24"/>
          <w:szCs w:val="24"/>
          <w:u w:color="212121"/>
          <w:shd w:val="clear" w:color="auto" w:fill="ffffff"/>
          <w:rtl w:val="0"/>
          <w14:textFill>
            <w14:solidFill>
              <w14:srgbClr w14:val="212121"/>
            </w14:solidFill>
          </w14:textFill>
        </w:rPr>
        <w:t>20</w:t>
      </w:r>
      <w:r>
        <w:rPr>
          <w:rFonts w:ascii="Times New Roman" w:hAnsi="Times New Roman"/>
          <w:outline w:val="0"/>
          <w:color w:val="212121"/>
          <w:sz w:val="24"/>
          <w:szCs w:val="24"/>
          <w:u w:color="212121"/>
          <w:shd w:val="clear" w:color="auto" w:fill="ffffff"/>
          <w:rtl w:val="0"/>
          <w:lang w:val="en-US"/>
          <w14:textFill>
            <w14:solidFill>
              <w14:srgbClr w14:val="212121"/>
            </w14:solidFill>
          </w14:textFill>
        </w:rPr>
        <w:t>(1), 221. https://doi.org/10.1186/s12939-021-01552-w</w:t>
      </w:r>
    </w:p>
    <w:p>
      <w:pPr>
        <w:pStyle w:val="Body A"/>
        <w:spacing w:after="0" w:line="480" w:lineRule="auto"/>
        <w:ind w:left="720" w:hanging="720"/>
        <w:rPr>
          <w:rFonts w:ascii="Times New Roman" w:cs="Times New Roman" w:hAnsi="Times New Roman" w:eastAsia="Times New Roman"/>
          <w:outline w:val="0"/>
          <w:color w:val="212121"/>
          <w:sz w:val="24"/>
          <w:szCs w:val="24"/>
          <w:u w:color="212121"/>
          <w:shd w:val="clear" w:color="auto" w:fill="ffffff"/>
          <w14:textFill>
            <w14:solidFill>
              <w14:srgbClr w14:val="212121"/>
            </w14:solidFill>
          </w14:textFill>
        </w:rPr>
      </w:pPr>
    </w:p>
    <w:p>
      <w:pPr>
        <w:pStyle w:val="Body A"/>
        <w:spacing w:after="0" w:line="480" w:lineRule="auto"/>
        <w:ind w:left="720" w:hanging="720"/>
      </w:pPr>
      <w:r>
        <w:rPr>
          <w:rFonts w:ascii="Times New Roman" w:hAnsi="Times New Roman"/>
          <w:outline w:val="0"/>
          <w:color w:val="212121"/>
          <w:sz w:val="24"/>
          <w:szCs w:val="24"/>
          <w:u w:color="212121"/>
          <w:shd w:val="clear" w:color="auto" w:fill="ffffff"/>
          <w:rtl w:val="0"/>
          <w:lang w:val="pt-PT"/>
          <w14:textFill>
            <w14:solidFill>
              <w14:srgbClr w14:val="212121"/>
            </w14:solidFill>
          </w14:textFill>
        </w:rPr>
        <w:t>Rollan Oliveira, S., &amp; Siles Gonz</w:t>
      </w:r>
      <w:r>
        <w:rPr>
          <w:rFonts w:ascii="Times New Roman" w:hAnsi="Times New Roman" w:hint="default"/>
          <w:outline w:val="0"/>
          <w:color w:val="212121"/>
          <w:sz w:val="24"/>
          <w:szCs w:val="24"/>
          <w:u w:color="212121"/>
          <w:shd w:val="clear" w:color="auto" w:fill="ffffff"/>
          <w:rtl w:val="0"/>
          <w:lang w:val="en-US"/>
          <w14:textFill>
            <w14:solidFill>
              <w14:srgbClr w14:val="212121"/>
            </w14:solidFill>
          </w14:textFill>
        </w:rPr>
        <w:t>á</w:t>
      </w:r>
      <w:r>
        <w:rPr>
          <w:rFonts w:ascii="Times New Roman" w:hAnsi="Times New Roman"/>
          <w:outline w:val="0"/>
          <w:color w:val="212121"/>
          <w:sz w:val="24"/>
          <w:szCs w:val="24"/>
          <w:u w:color="212121"/>
          <w:shd w:val="clear" w:color="auto" w:fill="ffffff"/>
          <w:rtl w:val="0"/>
          <w:lang w:val="en-US"/>
          <w14:textFill>
            <w14:solidFill>
              <w14:srgbClr w14:val="212121"/>
            </w14:solidFill>
          </w14:textFill>
        </w:rPr>
        <w:t xml:space="preserve">lez, J. (2021). Nursing Professionals within the Intergenerational Context during the 20th and 21st Centuries: an Integrative Review. </w:t>
      </w:r>
      <w:r>
        <w:rPr>
          <w:rFonts w:ascii="Times New Roman" w:hAnsi="Times New Roman"/>
          <w:i w:val="1"/>
          <w:iCs w:val="1"/>
          <w:outline w:val="0"/>
          <w:color w:val="212121"/>
          <w:sz w:val="24"/>
          <w:szCs w:val="24"/>
          <w:u w:color="212121"/>
          <w:shd w:val="clear" w:color="auto" w:fill="ffffff"/>
          <w:rtl w:val="0"/>
          <w:lang w:val="es-ES_tradnl"/>
          <w14:textFill>
            <w14:solidFill>
              <w14:srgbClr w14:val="212121"/>
            </w14:solidFill>
          </w14:textFill>
        </w:rPr>
        <w:t>Investigacion y educacion en enfermeria</w:t>
      </w:r>
      <w:r>
        <w:rPr>
          <w:rFonts w:ascii="Times New Roman" w:hAnsi="Times New Roman"/>
          <w:outline w:val="0"/>
          <w:color w:val="212121"/>
          <w:sz w:val="24"/>
          <w:szCs w:val="24"/>
          <w:u w:color="212121"/>
          <w:shd w:val="clear" w:color="auto" w:fill="ffffff"/>
          <w:rtl w:val="0"/>
          <w14:textFill>
            <w14:solidFill>
              <w14:srgbClr w14:val="212121"/>
            </w14:solidFill>
          </w14:textFill>
        </w:rPr>
        <w:t xml:space="preserve">, </w:t>
      </w:r>
      <w:r>
        <w:rPr>
          <w:rFonts w:ascii="Times New Roman" w:hAnsi="Times New Roman"/>
          <w:i w:val="1"/>
          <w:iCs w:val="1"/>
          <w:outline w:val="0"/>
          <w:color w:val="212121"/>
          <w:sz w:val="24"/>
          <w:szCs w:val="24"/>
          <w:u w:color="212121"/>
          <w:shd w:val="clear" w:color="auto" w:fill="ffffff"/>
          <w:rtl w:val="0"/>
          <w14:textFill>
            <w14:solidFill>
              <w14:srgbClr w14:val="212121"/>
            </w14:solidFill>
          </w14:textFill>
        </w:rPr>
        <w:t>39</w:t>
      </w:r>
      <w:r>
        <w:rPr>
          <w:rFonts w:ascii="Times New Roman" w:hAnsi="Times New Roman"/>
          <w:outline w:val="0"/>
          <w:color w:val="212121"/>
          <w:sz w:val="24"/>
          <w:szCs w:val="24"/>
          <w:u w:color="212121"/>
          <w:shd w:val="clear" w:color="auto" w:fill="ffffff"/>
          <w:rtl w:val="0"/>
          <w:lang w:val="en-US"/>
          <w14:textFill>
            <w14:solidFill>
              <w14:srgbClr w14:val="212121"/>
            </w14:solidFill>
          </w14:textFill>
        </w:rPr>
        <w:t>(3), e14. https://doi.org/10.17533/udea.iee.v39n3e14</w:t>
      </w:r>
    </w:p>
    <w:sectPr>
      <w:headerReference w:type="default" r:id="rId4"/>
      <w:footerReference w:type="default" r:id="rId5"/>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A"/>
      <w:tabs>
        <w:tab w:val="center" w:pos="4680"/>
        <w:tab w:val="right" w:pos="9340"/>
      </w:tabs>
      <w:spacing w:after="0" w:line="240" w:lineRule="auto"/>
      <w:jc w:val="right"/>
    </w:pPr>
    <w:r>
      <w:rPr>
        <w:caps w:val="0"/>
        <w:smallCaps w:val="0"/>
        <w:strike w:val="0"/>
        <w:dstrike w:val="0"/>
        <w:outline w:val="0"/>
        <w:color w:val="000000"/>
        <w:u w:val="none" w:color="000000"/>
        <w:shd w:val="nil" w:color="auto" w:fill="auto"/>
        <w:vertAlign w:val="baseline"/>
        <w:rtl w:val="0"/>
        <w14:textFill>
          <w14:solidFill>
            <w14:srgbClr w14:val="000000"/>
          </w14:solidFill>
        </w14:textFill>
      </w:rPr>
      <w:t xml:space="preserve">       </w:t>
    </w:r>
    <w:r>
      <w:rPr>
        <w:rtl w:val="0"/>
      </w:rPr>
      <w:t xml:space="preserve">BENEFITS OF INTERGENERATIONAL SOCIALIZATION                                                                                        </w:t>
    </w:r>
    <w:r>
      <w:rPr>
        <w:caps w:val="0"/>
        <w:smallCaps w:val="0"/>
        <w:strike w:val="0"/>
        <w:dstrike w:val="0"/>
        <w:outline w:val="0"/>
        <w:color w:val="000000"/>
        <w:u w:val="none" w:color="000000"/>
        <w:shd w:val="nil" w:color="auto" w:fill="auto"/>
        <w:vertAlign w:val="baseline"/>
        <w14:textFill>
          <w14:solidFill>
            <w14:srgbClr w14:val="000000"/>
          </w14:solidFill>
        </w14:textFill>
      </w:rPr>
      <w:fldChar w:fldCharType="begin" w:fldLock="0"/>
    </w:r>
    <w:r>
      <w:rPr>
        <w:caps w:val="0"/>
        <w:smallCaps w:val="0"/>
        <w:strike w:val="0"/>
        <w:dstrike w:val="0"/>
        <w:outline w:val="0"/>
        <w:color w:val="000000"/>
        <w:u w:val="none" w:color="000000"/>
        <w:shd w:val="nil" w:color="auto" w:fill="auto"/>
        <w:vertAlign w:val="baseline"/>
        <w14:textFill>
          <w14:solidFill>
            <w14:srgbClr w14:val="000000"/>
          </w14:solidFill>
        </w14:textFill>
      </w:rPr>
      <w:instrText xml:space="preserve"> PAGE </w:instrText>
    </w:r>
    <w:r>
      <w:rPr>
        <w:caps w:val="0"/>
        <w:smallCaps w:val="0"/>
        <w:strike w:val="0"/>
        <w:dstrike w:val="0"/>
        <w:outline w:val="0"/>
        <w:color w:val="000000"/>
        <w:u w:val="none" w:color="000000"/>
        <w:shd w:val="nil" w:color="auto" w:fill="auto"/>
        <w:vertAlign w:val="baseline"/>
        <w14:textFill>
          <w14:solidFill>
            <w14:srgbClr w14:val="000000"/>
          </w14:solidFill>
        </w14:textFill>
      </w:rPr>
      <w:fldChar w:fldCharType="separate" w:fldLock="0"/>
    </w:r>
    <w:r>
      <w:rPr>
        <w:caps w:val="0"/>
        <w:smallCaps w:val="0"/>
        <w:strike w:val="0"/>
        <w:dstrike w:val="0"/>
        <w:outline w:val="0"/>
        <w:color w:val="000000"/>
        <w:u w:val="none" w:color="000000"/>
        <w:shd w:val="nil" w:color="auto" w:fill="auto"/>
        <w:vertAlign w:val="baseline"/>
        <w14:textFill>
          <w14:solidFill>
            <w14:srgbClr w14:val="000000"/>
          </w14:solidFill>
        </w14:textFill>
      </w:rPr>
    </w:r>
    <w:r>
      <w:rPr>
        <w:caps w:val="0"/>
        <w:smallCaps w:val="0"/>
        <w:strike w:val="0"/>
        <w:dstrike w:val="0"/>
        <w:outline w:val="0"/>
        <w:color w:val="000000"/>
        <w:u w:val="none" w:color="000000"/>
        <w:shd w:val="nil" w:color="auto" w:fill="auto"/>
        <w:vertAlign w:val="baseline"/>
        <w14:textFill>
          <w14:solidFill>
            <w14:srgbClr w14:val="000000"/>
          </w14:solidFill>
        </w14:textFill>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A">
    <w:name w:val="Body A"/>
    <w:next w:val="Body A"/>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